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FA" w:rsidRPr="00DC129D" w:rsidRDefault="00BC6AFA" w:rsidP="00DC129D">
      <w:pPr>
        <w:spacing w:before="28" w:after="28"/>
        <w:jc w:val="right"/>
        <w:rPr>
          <w:rFonts w:ascii="Calibri" w:hAnsi="Calibri"/>
          <w:b/>
          <w:color w:val="000000"/>
        </w:rPr>
      </w:pPr>
      <w:r w:rsidRPr="00DC129D">
        <w:rPr>
          <w:rFonts w:ascii="Calibri" w:hAnsi="Calibri"/>
          <w:b/>
          <w:color w:val="000000"/>
        </w:rPr>
        <w:t>PRILOG II.</w:t>
      </w:r>
    </w:p>
    <w:p w:rsidR="00BC6AFA" w:rsidRPr="00DC129D" w:rsidRDefault="00BC6AFA" w:rsidP="00DC129D">
      <w:pPr>
        <w:spacing w:before="28" w:after="28"/>
        <w:jc w:val="both"/>
        <w:rPr>
          <w:rFonts w:asciiTheme="minorHAnsi" w:hAnsiTheme="minorHAnsi"/>
          <w:b/>
          <w:color w:val="000000"/>
        </w:rPr>
      </w:pPr>
      <w:r w:rsidRPr="00DC129D">
        <w:rPr>
          <w:rFonts w:asciiTheme="minorHAnsi" w:hAnsiTheme="minorHAnsi"/>
          <w:b/>
          <w:color w:val="000000"/>
        </w:rPr>
        <w:t>Podnositelj uz popunjeni Obrazac »Prijave za dodjelu potpore« u obvezi je dostaviti:</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a) dokaz o registraciji udruge – Izvadak iz Registra udruga Republike Hrvatske, odnosno izva</w:t>
      </w:r>
      <w:bookmarkStart w:id="0" w:name="_GoBack"/>
      <w:bookmarkEnd w:id="0"/>
      <w:r w:rsidRPr="00DC129D">
        <w:rPr>
          <w:rFonts w:asciiTheme="minorHAnsi" w:hAnsiTheme="minorHAnsi"/>
          <w:color w:val="000000"/>
          <w:kern w:val="0"/>
          <w:lang w:eastAsia="hr-HR"/>
        </w:rPr>
        <w:t>dak iz drugog odgovarajućeg registra u koji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b) financijski izvještaj udruge i to:</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 za obveznike dvojnog knjigovodstva: preslika godišnjeg Izvještaja o prihodima i rashodima, Bilanca i Bilješke uz financijske izvještaje za prethodnu kalendarsku godinu;</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 za obveznike jednostavnog knjigovodstva: Odluka o vođenju jednostavnog knjigovodstva i primjeni novčanog računovodstvenog načela usvojena od zakonskog zastupnika podnositelja i Godišnji financijski izvještaj o primicima i izdacima za prethodnu kalendarsku godinu</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c) preslika ovjerenog statuta udruge nositeljice programa ili projekta</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d) dokaz o sufinanciranju programa ili projekta od jedinica lokalne ili područne (regionalne) samouprave ili nekih drugih izvora sufinanciranja ako je sufinanciranje iskazano u obrascu proračuna programa ili projekta (preslika odluke i/ili ugovora o sufinanciranju)</w:t>
      </w:r>
    </w:p>
    <w:p w:rsidR="00BC6AFA" w:rsidRPr="00DC129D" w:rsidRDefault="00BC6AFA" w:rsidP="00DC129D">
      <w:pPr>
        <w:suppressAutoHyphens w:val="0"/>
        <w:spacing w:before="100" w:beforeAutospacing="1" w:after="100" w:afterAutospacing="1" w:line="240" w:lineRule="auto"/>
        <w:jc w:val="both"/>
        <w:rPr>
          <w:rFonts w:asciiTheme="minorHAnsi" w:hAnsiTheme="minorHAnsi"/>
          <w:color w:val="000000"/>
          <w:kern w:val="0"/>
          <w:lang w:eastAsia="hr-HR"/>
        </w:rPr>
      </w:pPr>
      <w:r w:rsidRPr="00DC129D">
        <w:rPr>
          <w:rFonts w:asciiTheme="minorHAnsi" w:hAnsiTheme="minorHAnsi"/>
          <w:color w:val="000000"/>
          <w:kern w:val="0"/>
          <w:lang w:eastAsia="hr-HR"/>
        </w:rPr>
        <w:t>e) uvjerenje nadležnog suda, ne starije od šest mjeseci, da se ne vodi kazneni postupak protiv osobe ovlaštene za zastupanje udruge (koja je potpisala obrasce za prijavu programa ili projekta i koja je ovlaštena potpisati ugovor o financiranju) i voditelja programa ili projekta, a koje se dostavlja najkasnije prije potpisivanja ugovora o financiranju programa ili projekta</w:t>
      </w:r>
    </w:p>
    <w:p w:rsidR="00BC6AFA" w:rsidRPr="00DC129D" w:rsidRDefault="00BC6AFA" w:rsidP="00DC129D">
      <w:pPr>
        <w:spacing w:before="28" w:after="28"/>
        <w:jc w:val="both"/>
        <w:rPr>
          <w:rFonts w:asciiTheme="minorHAnsi" w:hAnsiTheme="minorHAnsi"/>
          <w:color w:val="000000"/>
        </w:rPr>
      </w:pPr>
    </w:p>
    <w:p w:rsidR="00BC6AFA" w:rsidRPr="00DC129D" w:rsidRDefault="00BC6AFA" w:rsidP="00DC129D">
      <w:pPr>
        <w:spacing w:before="28" w:after="28"/>
        <w:jc w:val="both"/>
        <w:rPr>
          <w:rFonts w:asciiTheme="minorHAnsi" w:hAnsiTheme="minorHAnsi"/>
          <w:color w:val="000000"/>
        </w:rPr>
      </w:pPr>
      <w:r w:rsidRPr="00DC129D">
        <w:rPr>
          <w:rFonts w:asciiTheme="minorHAnsi" w:hAnsiTheme="minorHAnsi"/>
          <w:color w:val="000000"/>
        </w:rPr>
        <w:br/>
      </w:r>
    </w:p>
    <w:p w:rsidR="00BC6AFA" w:rsidRPr="00DC129D" w:rsidRDefault="00BC6AFA" w:rsidP="00DC129D">
      <w:pPr>
        <w:spacing w:before="28" w:after="28"/>
        <w:jc w:val="both"/>
        <w:rPr>
          <w:rFonts w:asciiTheme="minorHAnsi" w:hAnsiTheme="minorHAnsi"/>
          <w:color w:val="000000"/>
        </w:rPr>
      </w:pPr>
    </w:p>
    <w:p w:rsidR="00BC6AFA" w:rsidRPr="00DC129D" w:rsidRDefault="00BC6AFA" w:rsidP="00DC129D">
      <w:pPr>
        <w:spacing w:before="28" w:after="28"/>
        <w:jc w:val="both"/>
        <w:rPr>
          <w:rFonts w:asciiTheme="minorHAnsi" w:hAnsiTheme="minorHAnsi"/>
          <w:color w:val="000000"/>
        </w:rPr>
      </w:pPr>
    </w:p>
    <w:p w:rsidR="00BC6AFA" w:rsidRPr="00DC129D" w:rsidRDefault="00BC6AFA" w:rsidP="00DC129D">
      <w:pPr>
        <w:spacing w:before="28" w:after="28"/>
        <w:jc w:val="both"/>
        <w:rPr>
          <w:rFonts w:asciiTheme="minorHAnsi" w:hAnsiTheme="minorHAnsi"/>
          <w:color w:val="000000"/>
        </w:rPr>
      </w:pPr>
    </w:p>
    <w:p w:rsidR="00BC6AFA" w:rsidRPr="00DC129D" w:rsidRDefault="00BC6AFA" w:rsidP="00DC129D">
      <w:pPr>
        <w:spacing w:before="28" w:after="28"/>
        <w:jc w:val="both"/>
        <w:rPr>
          <w:rFonts w:asciiTheme="minorHAnsi" w:hAnsiTheme="minorHAnsi"/>
          <w:color w:val="000000"/>
        </w:rPr>
      </w:pPr>
    </w:p>
    <w:p w:rsidR="00ED5CA6" w:rsidRPr="00BC6AFA" w:rsidRDefault="00DC129D" w:rsidP="00BC6AFA">
      <w:pPr>
        <w:suppressAutoHyphens w:val="0"/>
        <w:spacing w:line="240" w:lineRule="auto"/>
        <w:rPr>
          <w:rFonts w:ascii="Calibri" w:hAnsi="Calibri"/>
          <w:color w:val="000000"/>
        </w:rPr>
      </w:pPr>
    </w:p>
    <w:sectPr w:rsidR="00ED5CA6" w:rsidRPr="00BC6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FA"/>
    <w:rsid w:val="0070602F"/>
    <w:rsid w:val="00BC6AFA"/>
    <w:rsid w:val="00CF15CC"/>
    <w:rsid w:val="00DC129D"/>
    <w:rsid w:val="00DC29D5"/>
    <w:rsid w:val="00FD72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FA"/>
    <w:pPr>
      <w:suppressAutoHyphens/>
      <w:spacing w:line="100" w:lineRule="atLeast"/>
    </w:pPr>
    <w:rPr>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qFormat/>
    <w:rsid w:val="0070602F"/>
    <w:pPr>
      <w:suppressAutoHyphens w:val="0"/>
      <w:spacing w:after="120" w:line="240" w:lineRule="auto"/>
      <w:jc w:val="center"/>
    </w:pPr>
    <w:rPr>
      <w:b/>
      <w:kern w:val="0"/>
      <w:sz w:val="40"/>
      <w:szCs w:val="40"/>
      <w:lang w:eastAsia="en-US"/>
    </w:rPr>
  </w:style>
  <w:style w:type="paragraph" w:styleId="Odlomakpopisa">
    <w:name w:val="List Paragraph"/>
    <w:basedOn w:val="Normal"/>
    <w:uiPriority w:val="34"/>
    <w:qFormat/>
    <w:rsid w:val="0070602F"/>
    <w:pPr>
      <w:suppressAutoHyphens w:val="0"/>
      <w:spacing w:line="240" w:lineRule="auto"/>
      <w:ind w:left="708"/>
    </w:pPr>
    <w:rPr>
      <w:rFonts w:eastAsia="SimSun"/>
      <w:snapToGrid w:val="0"/>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FA"/>
    <w:pPr>
      <w:suppressAutoHyphens/>
      <w:spacing w:line="100" w:lineRule="atLeast"/>
    </w:pPr>
    <w:rPr>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qFormat/>
    <w:rsid w:val="0070602F"/>
    <w:pPr>
      <w:suppressAutoHyphens w:val="0"/>
      <w:spacing w:after="120" w:line="240" w:lineRule="auto"/>
      <w:jc w:val="center"/>
    </w:pPr>
    <w:rPr>
      <w:b/>
      <w:kern w:val="0"/>
      <w:sz w:val="40"/>
      <w:szCs w:val="40"/>
      <w:lang w:eastAsia="en-US"/>
    </w:rPr>
  </w:style>
  <w:style w:type="paragraph" w:styleId="Odlomakpopisa">
    <w:name w:val="List Paragraph"/>
    <w:basedOn w:val="Normal"/>
    <w:uiPriority w:val="34"/>
    <w:qFormat/>
    <w:rsid w:val="0070602F"/>
    <w:pPr>
      <w:suppressAutoHyphens w:val="0"/>
      <w:spacing w:line="240" w:lineRule="auto"/>
      <w:ind w:left="708"/>
    </w:pPr>
    <w:rPr>
      <w:rFonts w:eastAsia="SimSun"/>
      <w:snapToGrid w:val="0"/>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GORDANA2</dc:creator>
  <cp:lastModifiedBy>Paulina</cp:lastModifiedBy>
  <cp:revision>3</cp:revision>
  <cp:lastPrinted>2016-01-11T13:53:00Z</cp:lastPrinted>
  <dcterms:created xsi:type="dcterms:W3CDTF">2015-09-11T07:45:00Z</dcterms:created>
  <dcterms:modified xsi:type="dcterms:W3CDTF">2016-01-11T13:53:00Z</dcterms:modified>
</cp:coreProperties>
</file>